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8D3C" w14:textId="7936C5DD" w:rsidR="003C2673" w:rsidRPr="00B01074" w:rsidRDefault="000D448E">
      <w:pPr>
        <w:pStyle w:val="Title"/>
        <w:spacing w:line="184" w:lineRule="auto"/>
        <w:rPr>
          <w:sz w:val="44"/>
          <w:szCs w:val="44"/>
        </w:rPr>
      </w:pPr>
      <w:r w:rsidRPr="00B01074">
        <w:rPr>
          <w:noProof/>
          <w:sz w:val="44"/>
          <w:szCs w:val="44"/>
        </w:rPr>
        <mc:AlternateContent>
          <mc:Choice Requires="wpg">
            <w:drawing>
              <wp:anchor distT="0" distB="0" distL="0" distR="0" simplePos="0" relativeHeight="251657216" behindDoc="0" locked="0" layoutInCell="1" allowOverlap="1" wp14:anchorId="1F5D06D9" wp14:editId="4EDC7C69">
                <wp:simplePos x="0" y="0"/>
                <wp:positionH relativeFrom="page">
                  <wp:posOffset>6996246</wp:posOffset>
                </wp:positionH>
                <wp:positionV relativeFrom="paragraph">
                  <wp:posOffset>1121556</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B78E08" id="Group 22" o:spid="_x0000_s1026" style="position:absolute;margin-left:550.9pt;margin-top:88.3pt;width:61.2pt;height:19.55pt;z-index:251657216;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r w:rsidR="00706B2B">
        <w:rPr>
          <w:noProof/>
          <w:sz w:val="44"/>
          <w:szCs w:val="44"/>
        </w:rPr>
        <w:t>Deadline for the EEO-1 Report: June 24, 2025</w:t>
      </w:r>
    </w:p>
    <w:p w14:paraId="6DC4CE60" w14:textId="77777777" w:rsidR="00706B2B" w:rsidRDefault="00706B2B" w:rsidP="00706B2B">
      <w:pPr>
        <w:rPr>
          <w:rFonts w:ascii="Times New Roman" w:hAnsi="Times New Roman" w:cs="Times New Roman"/>
        </w:rPr>
      </w:pPr>
    </w:p>
    <w:p w14:paraId="2E51340E" w14:textId="77777777" w:rsidR="00706B2B" w:rsidRDefault="00706B2B" w:rsidP="00706B2B">
      <w:pPr>
        <w:rPr>
          <w:rFonts w:ascii="Times New Roman" w:hAnsi="Times New Roman" w:cs="Times New Roman"/>
        </w:rPr>
      </w:pPr>
    </w:p>
    <w:p w14:paraId="65508669" w14:textId="322E1E67" w:rsidR="00706B2B" w:rsidRPr="00746916" w:rsidRDefault="00706B2B" w:rsidP="00706B2B">
      <w:pPr>
        <w:rPr>
          <w:rFonts w:ascii="Times New Roman" w:eastAsia="Times New Roman" w:hAnsi="Times New Roman" w:cs="Times New Roman"/>
        </w:rPr>
      </w:pPr>
      <w:r w:rsidRPr="00746916">
        <w:rPr>
          <w:rFonts w:ascii="Times New Roman" w:hAnsi="Times New Roman" w:cs="Times New Roman"/>
        </w:rPr>
        <w:t xml:space="preserve">The annual EEO-1 Report, mandated by the Equal Employment Opportunity Commission (EEOC), is a cornerstone of workplace diversity and anti-discrimination efforts in the United States. </w:t>
      </w:r>
      <w:r w:rsidRPr="00746916">
        <w:rPr>
          <w:rFonts w:ascii="Times New Roman" w:eastAsia="Times New Roman" w:hAnsi="Times New Roman" w:cs="Times New Roman"/>
        </w:rPr>
        <w:t>This data collection</w:t>
      </w:r>
      <w:r>
        <w:rPr>
          <w:rFonts w:ascii="Times New Roman" w:eastAsia="Times New Roman" w:hAnsi="Times New Roman" w:cs="Times New Roman"/>
        </w:rPr>
        <w:t xml:space="preserve"> </w:t>
      </w:r>
      <w:r w:rsidRPr="00746916">
        <w:rPr>
          <w:rFonts w:ascii="Times New Roman" w:eastAsia="Times New Roman" w:hAnsi="Times New Roman" w:cs="Times New Roman"/>
        </w:rPr>
        <w:t>provides a demographic snapshot of America's workforce, helping to monitor for discrimination and promote equal employment opportunity. Missing the deadline can lead to serious consequences, making it imperative for eligible employers to understand the reporting requirements and act promptly.</w:t>
      </w:r>
    </w:p>
    <w:p w14:paraId="5D415E95" w14:textId="77777777" w:rsidR="00706B2B" w:rsidRDefault="00706B2B" w:rsidP="00706B2B">
      <w:pPr>
        <w:pStyle w:val="Heading3"/>
      </w:pPr>
    </w:p>
    <w:p w14:paraId="2FD65E4F" w14:textId="77777777" w:rsidR="00706B2B" w:rsidRPr="00EC4282" w:rsidRDefault="00706B2B" w:rsidP="00706B2B">
      <w:pPr>
        <w:pStyle w:val="Heading3"/>
        <w:rPr>
          <w:rFonts w:ascii="Times New Roman" w:hAnsi="Times New Roman" w:cs="Times New Roman"/>
          <w:color w:val="000000" w:themeColor="text1"/>
          <w:sz w:val="28"/>
          <w:szCs w:val="28"/>
        </w:rPr>
      </w:pPr>
      <w:r w:rsidRPr="00EC4282">
        <w:rPr>
          <w:rFonts w:ascii="Times New Roman" w:hAnsi="Times New Roman" w:cs="Times New Roman"/>
          <w:color w:val="000000" w:themeColor="text1"/>
          <w:sz w:val="28"/>
          <w:szCs w:val="28"/>
        </w:rPr>
        <w:t>Who Must File?</w:t>
      </w:r>
    </w:p>
    <w:p w14:paraId="4DECD0EB" w14:textId="77777777" w:rsidR="00706B2B" w:rsidRDefault="00706B2B" w:rsidP="00706B2B">
      <w:pPr>
        <w:pStyle w:val="NormalWeb"/>
      </w:pPr>
      <w:r>
        <w:t>Generally, the following employers are required to file an annual EEO-1 Component 1 report:</w:t>
      </w:r>
    </w:p>
    <w:p w14:paraId="1117A782" w14:textId="77777777" w:rsidR="00706B2B" w:rsidRDefault="00706B2B" w:rsidP="00706B2B">
      <w:pPr>
        <w:widowControl/>
        <w:numPr>
          <w:ilvl w:val="0"/>
          <w:numId w:val="3"/>
        </w:numPr>
        <w:autoSpaceDE/>
        <w:autoSpaceDN/>
        <w:spacing w:before="100" w:beforeAutospacing="1" w:after="100" w:afterAutospacing="1"/>
      </w:pPr>
      <w:r>
        <w:rPr>
          <w:rStyle w:val="citation-23"/>
          <w:b/>
          <w:bCs/>
        </w:rPr>
        <w:t>Private sector employers with 100 or more employees</w:t>
      </w:r>
      <w:r>
        <w:rPr>
          <w:rStyle w:val="citation-23"/>
        </w:rPr>
        <w:t xml:space="preserve"> during an employer-selected payroll period (workforce snapshot period) in the fourth quarter (October 1 through December 31) of the reporting year.</w:t>
      </w:r>
    </w:p>
    <w:p w14:paraId="5381DB6D" w14:textId="77777777" w:rsidR="00706B2B" w:rsidRDefault="00706B2B" w:rsidP="00706B2B">
      <w:pPr>
        <w:widowControl/>
        <w:numPr>
          <w:ilvl w:val="0"/>
          <w:numId w:val="3"/>
        </w:numPr>
        <w:autoSpaceDE/>
        <w:autoSpaceDN/>
        <w:spacing w:before="100" w:beforeAutospacing="1" w:after="100" w:afterAutospacing="1"/>
      </w:pPr>
      <w:r>
        <w:rPr>
          <w:rStyle w:val="Strong"/>
        </w:rPr>
        <w:t xml:space="preserve">Federal contractors and </w:t>
      </w:r>
      <w:r>
        <w:rPr>
          <w:rStyle w:val="citation-22"/>
          <w:b/>
          <w:bCs/>
        </w:rPr>
        <w:t>first-tier subcontractors</w:t>
      </w:r>
      <w:r>
        <w:rPr>
          <w:rStyle w:val="citation-22"/>
        </w:rPr>
        <w:t xml:space="preserve"> with 50 or more employees and a contract, subcontract, or purchase order amounting to $50,000 or</w:t>
      </w:r>
      <w:r>
        <w:t xml:space="preserve"> more, or who </w:t>
      </w:r>
      <w:r>
        <w:rPr>
          <w:rStyle w:val="citation-21"/>
        </w:rPr>
        <w:t>serve as a depository of Government funds in any amount, or act as an issuing and paying agent for U.S. Savings Bonds and</w:t>
      </w:r>
      <w:r>
        <w:t xml:space="preserve"> Notes.</w:t>
      </w:r>
    </w:p>
    <w:p w14:paraId="37CBBD17" w14:textId="77777777" w:rsidR="00706B2B" w:rsidRDefault="00706B2B" w:rsidP="00706B2B">
      <w:pPr>
        <w:pStyle w:val="NormalWeb"/>
      </w:pPr>
      <w:r>
        <w:t>It's crucial to note that even if an employer has fewer than 100 employees during the selected snapshot period, they may still be required to file if their total employee count reached 100 or more at any point during the fourth quarter of the reporting year, or if they are affiliated with a parent company that meets the 100-employee threshold.</w:t>
      </w:r>
    </w:p>
    <w:p w14:paraId="1E21E2B1" w14:textId="77777777" w:rsidR="00706B2B" w:rsidRPr="00501C80" w:rsidRDefault="00706B2B" w:rsidP="00706B2B">
      <w:pPr>
        <w:pStyle w:val="Heading3"/>
        <w:rPr>
          <w:rFonts w:ascii="Times New Roman" w:hAnsi="Times New Roman" w:cs="Times New Roman"/>
          <w:b/>
          <w:bCs/>
          <w:color w:val="000000" w:themeColor="text1"/>
          <w:sz w:val="28"/>
          <w:szCs w:val="28"/>
        </w:rPr>
      </w:pPr>
      <w:r w:rsidRPr="00EC4282">
        <w:rPr>
          <w:rFonts w:ascii="Times New Roman" w:hAnsi="Times New Roman" w:cs="Times New Roman"/>
          <w:color w:val="000000" w:themeColor="text1"/>
          <w:sz w:val="28"/>
          <w:szCs w:val="28"/>
        </w:rPr>
        <w:t xml:space="preserve">The All-Important Deadline: </w:t>
      </w:r>
      <w:r w:rsidRPr="00501C80">
        <w:rPr>
          <w:rFonts w:ascii="Times New Roman" w:hAnsi="Times New Roman" w:cs="Times New Roman"/>
          <w:b/>
          <w:bCs/>
          <w:color w:val="000000" w:themeColor="text1"/>
          <w:sz w:val="28"/>
          <w:szCs w:val="28"/>
        </w:rPr>
        <w:t>June 24, 2025 (for 2024 data)</w:t>
      </w:r>
    </w:p>
    <w:p w14:paraId="150250C8" w14:textId="77777777" w:rsidR="00706B2B" w:rsidRDefault="00706B2B" w:rsidP="00706B2B">
      <w:pPr>
        <w:pStyle w:val="NormalWeb"/>
      </w:pPr>
      <w:r>
        <w:rPr>
          <w:rStyle w:val="citation-20"/>
        </w:rPr>
        <w:t xml:space="preserve">For the </w:t>
      </w:r>
      <w:r>
        <w:rPr>
          <w:rStyle w:val="citation-20"/>
          <w:b/>
          <w:bCs/>
        </w:rPr>
        <w:t>2024 EEO-1 Component 1 report</w:t>
      </w:r>
      <w:r>
        <w:rPr>
          <w:rStyle w:val="citation-20"/>
        </w:rPr>
        <w:t xml:space="preserve">, the data collection period </w:t>
      </w:r>
      <w:r>
        <w:rPr>
          <w:rStyle w:val="citation-20"/>
          <w:b/>
          <w:bCs/>
        </w:rPr>
        <w:t>opened on May 20, 2025, and the deadline to submit and certify reports is Tuesday, June 24, 2025, at 11:00 PM ET</w:t>
      </w:r>
      <w:r>
        <w:rPr>
          <w:rStyle w:val="citation-20"/>
        </w:rPr>
        <w:t>.</w:t>
      </w:r>
    </w:p>
    <w:p w14:paraId="14E1D024" w14:textId="77777777" w:rsidR="00706B2B" w:rsidRDefault="00706B2B" w:rsidP="00706B2B">
      <w:pPr>
        <w:pStyle w:val="NormalWeb"/>
      </w:pPr>
      <w:r>
        <w:rPr>
          <w:rStyle w:val="citation-19"/>
          <w:rFonts w:eastAsia="Verdana"/>
        </w:rPr>
        <w:t xml:space="preserve">This year, the EEOC has emphasized a </w:t>
      </w:r>
      <w:r>
        <w:rPr>
          <w:rStyle w:val="citation-19"/>
          <w:rFonts w:eastAsia="Verdana"/>
          <w:b/>
          <w:bCs/>
        </w:rPr>
        <w:t>shorter collection period</w:t>
      </w:r>
      <w:r>
        <w:rPr>
          <w:rStyle w:val="citation-19"/>
          <w:rFonts w:eastAsia="Verdana"/>
        </w:rPr>
        <w:t xml:space="preserve"> compared to some previous cycles.</w:t>
      </w:r>
      <w:r>
        <w:t xml:space="preserve"> This means employers have a more condensed window to gather their data, review for accuracy, and submit their reports through the EEO-1 Component 1 Online Filing System (OFS).</w:t>
      </w:r>
    </w:p>
    <w:p w14:paraId="36A62819" w14:textId="06E8EB35" w:rsidR="003C2673" w:rsidRDefault="003C2673" w:rsidP="00490E5A">
      <w:pPr>
        <w:pStyle w:val="BodyText"/>
        <w:spacing w:before="184" w:line="273" w:lineRule="auto"/>
        <w:ind w:left="112" w:right="472"/>
        <w:rPr>
          <w:sz w:val="28"/>
        </w:rPr>
      </w:pPr>
    </w:p>
    <w:sectPr w:rsidR="003C2673" w:rsidSect="00B01074">
      <w:headerReference w:type="default" r:id="rId15"/>
      <w:footerReference w:type="default" r:id="rId16"/>
      <w:type w:val="continuous"/>
      <w:pgSz w:w="12240" w:h="15840"/>
      <w:pgMar w:top="1440" w:right="1080" w:bottom="1440" w:left="1080" w:header="0"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D59B" w14:textId="77777777" w:rsidR="000D448E" w:rsidRDefault="000D448E">
      <w:r>
        <w:separator/>
      </w:r>
    </w:p>
  </w:endnote>
  <w:endnote w:type="continuationSeparator" w:id="0">
    <w:p w14:paraId="2BBC140E" w14:textId="77777777" w:rsidR="000D448E" w:rsidRDefault="000D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FEC1" w14:textId="77777777" w:rsidR="003C2673" w:rsidRDefault="000D448E">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3C8AC71C" wp14:editId="33054B53">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7B4090FA"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6D2773EF" wp14:editId="1D978E4A">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5"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6"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8"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9"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68820" y="844"/>
                          <a:ext cx="71329" cy="102984"/>
                        </a:xfrm>
                        <a:prstGeom prst="rect">
                          <a:avLst/>
                        </a:prstGeom>
                      </pic:spPr>
                    </pic:pic>
                    <wps:wsp>
                      <wps:cNvPr id="11"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2"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5AD84F"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5A3A671A" wp14:editId="0D922F75">
              <wp:simplePos x="0" y="0"/>
              <wp:positionH relativeFrom="page">
                <wp:posOffset>-527</wp:posOffset>
              </wp:positionH>
              <wp:positionV relativeFrom="page">
                <wp:posOffset>9437899</wp:posOffset>
              </wp:positionV>
              <wp:extent cx="661035" cy="1079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FA15C"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0413" w14:textId="77777777" w:rsidR="000D448E" w:rsidRDefault="000D448E">
      <w:r>
        <w:separator/>
      </w:r>
    </w:p>
  </w:footnote>
  <w:footnote w:type="continuationSeparator" w:id="0">
    <w:p w14:paraId="78E9A7B2" w14:textId="77777777" w:rsidR="000D448E" w:rsidRDefault="000D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B328" w14:textId="77777777" w:rsidR="003C2673" w:rsidRDefault="000D448E">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664EF1E0" wp14:editId="7DA219A1">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243BA16"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4EBE2DF9" wp14:editId="70F6864A">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0D448E">
                            <w:rPr>
                              <w:rFonts w:ascii="Arial Black"/>
                              <w:color w:val="FFFFFF"/>
                              <w:spacing w:val="-8"/>
                              <w:sz w:val="32"/>
                            </w:rPr>
                            <w:t>,</w:t>
                          </w:r>
                          <w:proofErr w:type="gramEnd"/>
                          <w:r w:rsidR="000D448E">
                            <w:rPr>
                              <w:rFonts w:ascii="Arial Black"/>
                              <w:color w:val="FFFFFF"/>
                              <w:spacing w:val="-25"/>
                              <w:sz w:val="32"/>
                            </w:rPr>
                            <w:t xml:space="preserve"> </w:t>
                          </w:r>
                          <w:r w:rsidR="000D448E">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4EBE2DF9"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0D448E">
                      <w:rPr>
                        <w:rFonts w:ascii="Arial Black"/>
                        <w:color w:val="FFFFFF"/>
                        <w:spacing w:val="-8"/>
                        <w:sz w:val="32"/>
                      </w:rPr>
                      <w:t>,</w:t>
                    </w:r>
                    <w:proofErr w:type="gramEnd"/>
                    <w:r w:rsidR="000D448E">
                      <w:rPr>
                        <w:rFonts w:ascii="Arial Black"/>
                        <w:color w:val="FFFFFF"/>
                        <w:spacing w:val="-25"/>
                        <w:sz w:val="32"/>
                      </w:rPr>
                      <w:t xml:space="preserve"> </w:t>
                    </w:r>
                    <w:r w:rsidR="000D448E">
                      <w:rPr>
                        <w:rFonts w:ascii="Arial Black"/>
                        <w:color w:val="FFFFFF"/>
                        <w:spacing w:val="-8"/>
                        <w:sz w:val="32"/>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5pt;height:8.85pt" o:bullet="t">
        <v:imagedata r:id="rId1" o:title="image9"/>
      </v:shape>
    </w:pict>
  </w:numPicBullet>
  <w:abstractNum w:abstractNumId="0" w15:restartNumberingAfterBreak="0">
    <w:nsid w:val="013E4DA7"/>
    <w:multiLevelType w:val="hybridMultilevel"/>
    <w:tmpl w:val="877873EA"/>
    <w:lvl w:ilvl="0" w:tplc="31C013BC">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9AEAA1BE">
      <w:numFmt w:val="bullet"/>
      <w:lvlText w:val="•"/>
      <w:lvlJc w:val="left"/>
      <w:pPr>
        <w:ind w:left="1692" w:hanging="292"/>
      </w:pPr>
      <w:rPr>
        <w:rFonts w:hint="default"/>
        <w:lang w:val="en-US" w:eastAsia="en-US" w:bidi="ar-SA"/>
      </w:rPr>
    </w:lvl>
    <w:lvl w:ilvl="2" w:tplc="806C556E">
      <w:numFmt w:val="bullet"/>
      <w:lvlText w:val="•"/>
      <w:lvlJc w:val="left"/>
      <w:pPr>
        <w:ind w:left="2824" w:hanging="292"/>
      </w:pPr>
      <w:rPr>
        <w:rFonts w:hint="default"/>
        <w:lang w:val="en-US" w:eastAsia="en-US" w:bidi="ar-SA"/>
      </w:rPr>
    </w:lvl>
    <w:lvl w:ilvl="3" w:tplc="F12A8E18">
      <w:numFmt w:val="bullet"/>
      <w:lvlText w:val="•"/>
      <w:lvlJc w:val="left"/>
      <w:pPr>
        <w:ind w:left="3956" w:hanging="292"/>
      </w:pPr>
      <w:rPr>
        <w:rFonts w:hint="default"/>
        <w:lang w:val="en-US" w:eastAsia="en-US" w:bidi="ar-SA"/>
      </w:rPr>
    </w:lvl>
    <w:lvl w:ilvl="4" w:tplc="D7F20814">
      <w:numFmt w:val="bullet"/>
      <w:lvlText w:val="•"/>
      <w:lvlJc w:val="left"/>
      <w:pPr>
        <w:ind w:left="5088" w:hanging="292"/>
      </w:pPr>
      <w:rPr>
        <w:rFonts w:hint="default"/>
        <w:lang w:val="en-US" w:eastAsia="en-US" w:bidi="ar-SA"/>
      </w:rPr>
    </w:lvl>
    <w:lvl w:ilvl="5" w:tplc="577A3DA6">
      <w:numFmt w:val="bullet"/>
      <w:lvlText w:val="•"/>
      <w:lvlJc w:val="left"/>
      <w:pPr>
        <w:ind w:left="6220" w:hanging="292"/>
      </w:pPr>
      <w:rPr>
        <w:rFonts w:hint="default"/>
        <w:lang w:val="en-US" w:eastAsia="en-US" w:bidi="ar-SA"/>
      </w:rPr>
    </w:lvl>
    <w:lvl w:ilvl="6" w:tplc="59DA6C32">
      <w:numFmt w:val="bullet"/>
      <w:lvlText w:val="•"/>
      <w:lvlJc w:val="left"/>
      <w:pPr>
        <w:ind w:left="7352" w:hanging="292"/>
      </w:pPr>
      <w:rPr>
        <w:rFonts w:hint="default"/>
        <w:lang w:val="en-US" w:eastAsia="en-US" w:bidi="ar-SA"/>
      </w:rPr>
    </w:lvl>
    <w:lvl w:ilvl="7" w:tplc="48F67CBE">
      <w:numFmt w:val="bullet"/>
      <w:lvlText w:val="•"/>
      <w:lvlJc w:val="left"/>
      <w:pPr>
        <w:ind w:left="8484" w:hanging="292"/>
      </w:pPr>
      <w:rPr>
        <w:rFonts w:hint="default"/>
        <w:lang w:val="en-US" w:eastAsia="en-US" w:bidi="ar-SA"/>
      </w:rPr>
    </w:lvl>
    <w:lvl w:ilvl="8" w:tplc="01ACA33A">
      <w:numFmt w:val="bullet"/>
      <w:lvlText w:val="•"/>
      <w:lvlJc w:val="left"/>
      <w:pPr>
        <w:ind w:left="9616" w:hanging="292"/>
      </w:pPr>
      <w:rPr>
        <w:rFonts w:hint="default"/>
        <w:lang w:val="en-US" w:eastAsia="en-US" w:bidi="ar-SA"/>
      </w:rPr>
    </w:lvl>
  </w:abstractNum>
  <w:abstractNum w:abstractNumId="1" w15:restartNumberingAfterBreak="0">
    <w:nsid w:val="114A7843"/>
    <w:multiLevelType w:val="multilevel"/>
    <w:tmpl w:val="D34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6687D"/>
    <w:multiLevelType w:val="multilevel"/>
    <w:tmpl w:val="7E8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73"/>
    <w:rsid w:val="000D448E"/>
    <w:rsid w:val="003C2673"/>
    <w:rsid w:val="00490E5A"/>
    <w:rsid w:val="00706B2B"/>
    <w:rsid w:val="00A20BEA"/>
    <w:rsid w:val="00B01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BF22"/>
  <w15:docId w15:val="{93A13257-17C7-434E-A473-DA09BB0B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706B2B"/>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1"/>
    <w:qFormat/>
    <w:pPr>
      <w:ind w:left="553" w:right="518" w:hanging="29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90E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5A"/>
    <w:rPr>
      <w:b/>
      <w:bCs/>
    </w:rPr>
  </w:style>
  <w:style w:type="character" w:styleId="Hyperlink">
    <w:name w:val="Hyperlink"/>
    <w:basedOn w:val="DefaultParagraphFont"/>
    <w:uiPriority w:val="99"/>
    <w:unhideWhenUsed/>
    <w:rsid w:val="00490E5A"/>
    <w:rPr>
      <w:color w:val="0000FF" w:themeColor="hyperlink"/>
      <w:u w:val="single"/>
    </w:rPr>
  </w:style>
  <w:style w:type="paragraph" w:styleId="Header">
    <w:name w:val="header"/>
    <w:basedOn w:val="Normal"/>
    <w:link w:val="HeaderChar"/>
    <w:uiPriority w:val="99"/>
    <w:unhideWhenUsed/>
    <w:rsid w:val="00490E5A"/>
    <w:pPr>
      <w:tabs>
        <w:tab w:val="center" w:pos="4680"/>
        <w:tab w:val="right" w:pos="9360"/>
      </w:tabs>
    </w:pPr>
  </w:style>
  <w:style w:type="character" w:customStyle="1" w:styleId="HeaderChar">
    <w:name w:val="Header Char"/>
    <w:basedOn w:val="DefaultParagraphFont"/>
    <w:link w:val="Header"/>
    <w:uiPriority w:val="99"/>
    <w:rsid w:val="00490E5A"/>
    <w:rPr>
      <w:rFonts w:ascii="Verdana" w:eastAsia="Verdana" w:hAnsi="Verdana" w:cs="Verdana"/>
    </w:rPr>
  </w:style>
  <w:style w:type="paragraph" w:styleId="Footer">
    <w:name w:val="footer"/>
    <w:basedOn w:val="Normal"/>
    <w:link w:val="FooterChar"/>
    <w:uiPriority w:val="99"/>
    <w:unhideWhenUsed/>
    <w:rsid w:val="00490E5A"/>
    <w:pPr>
      <w:tabs>
        <w:tab w:val="center" w:pos="4680"/>
        <w:tab w:val="right" w:pos="9360"/>
      </w:tabs>
    </w:pPr>
  </w:style>
  <w:style w:type="character" w:customStyle="1" w:styleId="FooterChar">
    <w:name w:val="Footer Char"/>
    <w:basedOn w:val="DefaultParagraphFont"/>
    <w:link w:val="Footer"/>
    <w:uiPriority w:val="99"/>
    <w:rsid w:val="00490E5A"/>
    <w:rPr>
      <w:rFonts w:ascii="Verdana" w:eastAsia="Verdana" w:hAnsi="Verdana" w:cs="Verdana"/>
    </w:rPr>
  </w:style>
  <w:style w:type="character" w:customStyle="1" w:styleId="Heading3Char">
    <w:name w:val="Heading 3 Char"/>
    <w:basedOn w:val="DefaultParagraphFont"/>
    <w:link w:val="Heading3"/>
    <w:uiPriority w:val="9"/>
    <w:semiHidden/>
    <w:rsid w:val="00706B2B"/>
    <w:rPr>
      <w:rFonts w:asciiTheme="majorHAnsi" w:eastAsiaTheme="majorEastAsia" w:hAnsiTheme="majorHAnsi" w:cstheme="majorBidi"/>
      <w:color w:val="243F60" w:themeColor="accent1" w:themeShade="7F"/>
      <w:sz w:val="24"/>
      <w:szCs w:val="24"/>
    </w:rPr>
  </w:style>
  <w:style w:type="character" w:customStyle="1" w:styleId="citation-23">
    <w:name w:val="citation-23"/>
    <w:basedOn w:val="DefaultParagraphFont"/>
    <w:rsid w:val="00706B2B"/>
  </w:style>
  <w:style w:type="character" w:customStyle="1" w:styleId="citation-22">
    <w:name w:val="citation-22"/>
    <w:basedOn w:val="DefaultParagraphFont"/>
    <w:rsid w:val="00706B2B"/>
  </w:style>
  <w:style w:type="character" w:customStyle="1" w:styleId="citation-21">
    <w:name w:val="citation-21"/>
    <w:basedOn w:val="DefaultParagraphFont"/>
    <w:rsid w:val="00706B2B"/>
  </w:style>
  <w:style w:type="character" w:customStyle="1" w:styleId="citation-20">
    <w:name w:val="citation-20"/>
    <w:basedOn w:val="DefaultParagraphFont"/>
    <w:rsid w:val="00706B2B"/>
  </w:style>
  <w:style w:type="character" w:customStyle="1" w:styleId="citation-19">
    <w:name w:val="citation-19"/>
    <w:basedOn w:val="DefaultParagraphFont"/>
    <w:rsid w:val="0070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2025-05-27T19:01:00Z</dcterms:created>
  <dcterms:modified xsi:type="dcterms:W3CDTF">2025-05-27T19:01:00Z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